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陕西能源荣获2023年度投资者关系管理工作优秀单位</w:t>
      </w:r>
    </w:p>
    <w:p>
      <w:pPr>
        <w:spacing w:line="60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bookmarkStart w:id="0" w:name="_GoBack"/>
      <w:r>
        <w:rPr>
          <w:rFonts w:hint="eastAsia" w:ascii="仿宋_GB2312" w:eastAsia="仿宋_GB2312"/>
          <w:sz w:val="30"/>
          <w:szCs w:val="30"/>
        </w:rPr>
        <w:t>5月1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日，陕西能源荣获陕西上市公司协会颁发的“</w:t>
      </w:r>
      <w:r>
        <w:rPr>
          <w:rFonts w:ascii="仿宋_GB2312" w:eastAsia="仿宋_GB2312"/>
          <w:sz w:val="30"/>
          <w:szCs w:val="30"/>
        </w:rPr>
        <w:t>2023年度投资者关系管理工作优秀单位</w:t>
      </w:r>
      <w:r>
        <w:rPr>
          <w:rFonts w:hint="eastAsia" w:ascii="仿宋_GB2312" w:eastAsia="仿宋_GB2312"/>
          <w:sz w:val="30"/>
          <w:szCs w:val="30"/>
        </w:rPr>
        <w:t>”。陕西能源上市以来，始终聚焦主业，致力于保持长期稳定发展，面对资本市场的复杂环境，坚持诚实守信、真实透明、规范治理，持续提升公司内在发展质量，高度重视投资者关系管理，在信息披露、投资者沟通机制建设、市场形象打造等方面取得了丰硕成果，并积极回馈投资者、保护投资者利益，推动公司实现高质量发展。</w:t>
      </w:r>
    </w:p>
    <w:p>
      <w:pPr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drawing>
          <wp:inline distT="0" distB="0" distL="114300" distR="114300">
            <wp:extent cx="5612765" cy="4222750"/>
            <wp:effectExtent l="0" t="0" r="635" b="6350"/>
            <wp:docPr id="1" name="图片 1" descr="88abc7bd1bb68490dd38c91612f90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abc7bd1bb68490dd38c91612f90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坚持以规范治理为核心的公司治理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2023年以来，中国证监会频频发声，对上市公司的高质量发展提出了更高的要求。陕西能源始终以规范公司治理为核心，全面提高上市公司质量，着力建立健全了基础制度、规范和流程，围绕公司治理、信息披露和投资者关系，制订、修订</w:t>
      </w:r>
      <w:r>
        <w:rPr>
          <w:rFonts w:ascii="仿宋_GB2312" w:eastAsia="仿宋_GB2312"/>
          <w:sz w:val="30"/>
          <w:szCs w:val="30"/>
        </w:rPr>
        <w:t>20余项制度，快速适应上市后的规范运作要求。</w:t>
      </w:r>
      <w:r>
        <w:rPr>
          <w:rFonts w:hint="eastAsia" w:ascii="仿宋_GB2312" w:eastAsia="仿宋_GB2312"/>
          <w:sz w:val="30"/>
          <w:szCs w:val="30"/>
        </w:rPr>
        <w:t>持续提升信息披露水平，构建高质量官方信息输出窗口，包括全力做好强制性披露，积极做好自愿性披露，例如主动披露公司季度经营数据和重大项目的核准建设情况，满足投资者对公司日常生产经营的关注</w:t>
      </w:r>
      <w:r>
        <w:rPr>
          <w:rFonts w:ascii="仿宋_GB2312" w:eastAsia="仿宋_GB2312"/>
          <w:sz w:val="30"/>
          <w:szCs w:val="30"/>
        </w:rPr>
        <w:t>。此外，</w:t>
      </w:r>
      <w:r>
        <w:rPr>
          <w:rFonts w:hint="eastAsia" w:ascii="仿宋_GB2312" w:eastAsia="仿宋_GB2312"/>
          <w:sz w:val="30"/>
          <w:szCs w:val="30"/>
        </w:rPr>
        <w:t>借助定期报告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重大经营信息发布</w:t>
      </w:r>
      <w:r>
        <w:rPr>
          <w:rFonts w:ascii="仿宋_GB2312" w:eastAsia="仿宋_GB2312"/>
          <w:sz w:val="30"/>
          <w:szCs w:val="30"/>
        </w:rPr>
        <w:t>等节点契机积极策划体系化传播，通过公司官微、官网以及丰富的媒体资源，实现信息的全方位触达，加深投资者对公司</w:t>
      </w:r>
      <w:r>
        <w:rPr>
          <w:rFonts w:hint="eastAsia" w:ascii="仿宋_GB2312" w:eastAsia="仿宋_GB2312"/>
          <w:sz w:val="30"/>
          <w:szCs w:val="30"/>
        </w:rPr>
        <w:t>的认可。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多层次积极推进投资者关系管理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陕西能源不断采用多渠道、多形式的投资者关系方式，构建了以《投资者关系管理办法》为核心的多维度、立体式的投资者沟通渠道。除投资者热线、互动易、官方邮箱等渠道外，公司还通过业绩说明会、机构投资者业绩交流会、路演、反路演以及参加券商策略会等多种方式与投资者深度交流，上市近1年以来通过互动易回复投资者1</w:t>
      </w:r>
      <w:r>
        <w:rPr>
          <w:rFonts w:ascii="仿宋_GB2312" w:eastAsia="仿宋_GB2312"/>
          <w:sz w:val="30"/>
          <w:szCs w:val="30"/>
        </w:rPr>
        <w:t>50</w:t>
      </w:r>
      <w:r>
        <w:rPr>
          <w:rFonts w:hint="eastAsia" w:ascii="仿宋_GB2312" w:eastAsia="仿宋_GB2312"/>
          <w:sz w:val="30"/>
          <w:szCs w:val="30"/>
        </w:rPr>
        <w:t>余次，热线及邮箱回复5</w:t>
      </w:r>
      <w:r>
        <w:rPr>
          <w:rFonts w:ascii="仿宋_GB2312" w:eastAsia="仿宋_GB2312"/>
          <w:sz w:val="30"/>
          <w:szCs w:val="30"/>
        </w:rPr>
        <w:t>00</w:t>
      </w:r>
      <w:r>
        <w:rPr>
          <w:rFonts w:hint="eastAsia" w:ascii="仿宋_GB2312" w:eastAsia="仿宋_GB2312"/>
          <w:sz w:val="30"/>
          <w:szCs w:val="30"/>
        </w:rPr>
        <w:t>余次，并反馈投资者的建议及诉求给公司董监高，与1</w:t>
      </w:r>
      <w:r>
        <w:rPr>
          <w:rFonts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</w:rPr>
        <w:t>余家机构进行交流并构建了良好关系。定期组织董监高通过业绩解读等形式，与广大投资者线上进行面对面互动交流</w:t>
      </w:r>
      <w:r>
        <w:rPr>
          <w:rFonts w:ascii="仿宋_GB2312" w:eastAsia="仿宋_GB2312"/>
          <w:sz w:val="30"/>
          <w:szCs w:val="30"/>
        </w:rPr>
        <w:t>，解读公司业绩，传递公司战略，增强投资者对公司的发展信心。创新打造不同主题的投资者交流活动，</w:t>
      </w:r>
      <w:r>
        <w:rPr>
          <w:rFonts w:hint="eastAsia" w:ascii="仿宋_GB2312" w:eastAsia="仿宋_GB2312"/>
          <w:sz w:val="30"/>
          <w:szCs w:val="30"/>
        </w:rPr>
        <w:t>通过“股东来了”邀请投资者进行实地调研，强化投资者对公司的价值认知，通过规则解读、金融消费、反诈宣传等投教活动提升投资者风险防范，加深公司与投资者的互动交流。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推进以回报投资者为目标的市值管理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陕西能源始终践行以回报投资者为目标的市值管理，</w:t>
      </w:r>
      <w:r>
        <w:rPr>
          <w:rFonts w:ascii="仿宋_GB2312" w:eastAsia="仿宋_GB2312"/>
          <w:sz w:val="30"/>
          <w:szCs w:val="30"/>
        </w:rPr>
        <w:t>建立形成</w:t>
      </w:r>
      <w:r>
        <w:rPr>
          <w:rFonts w:hint="eastAsia" w:ascii="仿宋_GB2312" w:eastAsia="仿宋_GB2312"/>
          <w:sz w:val="30"/>
          <w:szCs w:val="30"/>
        </w:rPr>
        <w:t>了“</w:t>
      </w:r>
      <w:r>
        <w:rPr>
          <w:rFonts w:ascii="仿宋_GB2312" w:eastAsia="仿宋_GB2312"/>
          <w:sz w:val="30"/>
          <w:szCs w:val="30"/>
        </w:rPr>
        <w:t>周动态跟踪、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股东解析、月市值监测、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分析总结</w:t>
      </w:r>
      <w:r>
        <w:rPr>
          <w:rFonts w:hint="eastAsia" w:ascii="仿宋_GB2312"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的市值监测报告机制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并通过公司信息化系统看板，模块化展示资本市场与公司市值的最新态势，及时向公司</w:t>
      </w:r>
      <w:r>
        <w:rPr>
          <w:rFonts w:hint="eastAsia" w:ascii="仿宋_GB2312" w:eastAsia="仿宋_GB2312"/>
          <w:sz w:val="30"/>
          <w:szCs w:val="30"/>
        </w:rPr>
        <w:t>董监高</w:t>
      </w:r>
      <w:r>
        <w:rPr>
          <w:rFonts w:ascii="仿宋_GB2312" w:eastAsia="仿宋_GB2312"/>
          <w:sz w:val="30"/>
          <w:szCs w:val="30"/>
        </w:rPr>
        <w:t>反馈资本市场动态与投资者关注。</w:t>
      </w: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023</w:t>
      </w:r>
      <w:r>
        <w:rPr>
          <w:rFonts w:hint="eastAsia" w:ascii="仿宋_GB2312" w:eastAsia="仿宋_GB2312"/>
          <w:sz w:val="30"/>
          <w:szCs w:val="30"/>
        </w:rPr>
        <w:t>年，陕西能源实施了1</w:t>
      </w:r>
      <w:r>
        <w:rPr>
          <w:rFonts w:ascii="仿宋_GB2312" w:eastAsia="仿宋_GB2312"/>
          <w:sz w:val="30"/>
          <w:szCs w:val="30"/>
        </w:rPr>
        <w:t>3.13</w:t>
      </w:r>
      <w:r>
        <w:rPr>
          <w:rFonts w:hint="eastAsia" w:ascii="仿宋_GB2312" w:eastAsia="仿宋_GB2312"/>
          <w:sz w:val="30"/>
          <w:szCs w:val="30"/>
        </w:rPr>
        <w:t>亿元现金分红，2</w:t>
      </w:r>
      <w:r>
        <w:rPr>
          <w:rFonts w:ascii="仿宋_GB2312" w:eastAsia="仿宋_GB2312"/>
          <w:sz w:val="30"/>
          <w:szCs w:val="30"/>
        </w:rPr>
        <w:t>024</w:t>
      </w:r>
      <w:r>
        <w:rPr>
          <w:rFonts w:hint="eastAsia" w:ascii="仿宋_GB2312" w:eastAsia="仿宋_GB2312"/>
          <w:sz w:val="30"/>
          <w:szCs w:val="30"/>
        </w:rPr>
        <w:t>年，推出1</w:t>
      </w:r>
      <w:r>
        <w:rPr>
          <w:rFonts w:ascii="仿宋_GB2312" w:eastAsia="仿宋_GB2312"/>
          <w:sz w:val="30"/>
          <w:szCs w:val="30"/>
        </w:rPr>
        <w:t>3.50</w:t>
      </w:r>
      <w:r>
        <w:rPr>
          <w:rFonts w:hint="eastAsia" w:ascii="仿宋_GB2312" w:eastAsia="仿宋_GB2312"/>
          <w:sz w:val="30"/>
          <w:szCs w:val="30"/>
        </w:rPr>
        <w:t>亿元的现金分红方案，现金分红比例分别占公司归母净利润的5</w:t>
      </w:r>
      <w:r>
        <w:rPr>
          <w:rFonts w:ascii="仿宋_GB2312" w:eastAsia="仿宋_GB2312"/>
          <w:sz w:val="30"/>
          <w:szCs w:val="30"/>
        </w:rPr>
        <w:t>3.13%</w:t>
      </w:r>
      <w:r>
        <w:rPr>
          <w:rFonts w:hint="eastAsia" w:ascii="仿宋_GB2312" w:eastAsia="仿宋_GB2312"/>
          <w:sz w:val="30"/>
          <w:szCs w:val="30"/>
        </w:rPr>
        <w:t>，5</w:t>
      </w:r>
      <w:r>
        <w:rPr>
          <w:rFonts w:ascii="仿宋_GB2312" w:eastAsia="仿宋_GB2312"/>
          <w:sz w:val="30"/>
          <w:szCs w:val="30"/>
        </w:rPr>
        <w:t>2.82%</w:t>
      </w:r>
      <w:r>
        <w:rPr>
          <w:rFonts w:hint="eastAsia" w:ascii="仿宋_GB2312" w:eastAsia="仿宋_GB2312"/>
          <w:sz w:val="30"/>
          <w:szCs w:val="30"/>
        </w:rPr>
        <w:t>，增强了投资者投资回报。未来公司将结合经营发展实际情况制定合理持续的利润分配政策，在兼顾公司正常经营和长远发展的同时，让股东切实享受公司的发展成果。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未来，陕西能源将不断加强自身经营管理，积极贯彻证券监管机构关于提高上市公司质量的要求，继续深化投资者关系管理工作，持续探索投资者关系管理的最新实践和有益经验，开展更多形式丰富的投资者关系交流活动，促进公司投资者关系管理水平迈上新的台阶。</w:t>
      </w:r>
      <w:r>
        <w:rPr>
          <w:rFonts w:hint="eastAsia" w:ascii="仿宋_GB2312" w:eastAsia="仿宋_GB2312"/>
          <w:sz w:val="30"/>
          <w:szCs w:val="30"/>
          <w:lang w:eastAsia="zh-CN"/>
        </w:rPr>
        <w:t>【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陕西能源/周高勇</w:t>
      </w:r>
      <w:r>
        <w:rPr>
          <w:rFonts w:hint="eastAsia" w:ascii="仿宋_GB2312" w:eastAsia="仿宋_GB2312"/>
          <w:sz w:val="30"/>
          <w:szCs w:val="30"/>
          <w:lang w:eastAsia="zh-CN"/>
        </w:rPr>
        <w:t>】</w:t>
      </w:r>
    </w:p>
    <w:bookmarkEnd w:id="0"/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mQ5MDQyYWYyZDI2ZWM0YmRmYjI3NzNmYjg5ZDQ3MGYifQ=="/>
  </w:docVars>
  <w:rsids>
    <w:rsidRoot w:val="00386BE4"/>
    <w:rsid w:val="000C0C00"/>
    <w:rsid w:val="000F2190"/>
    <w:rsid w:val="000F56CE"/>
    <w:rsid w:val="00127AE1"/>
    <w:rsid w:val="00130540"/>
    <w:rsid w:val="001B2E14"/>
    <w:rsid w:val="001B44AA"/>
    <w:rsid w:val="002165EA"/>
    <w:rsid w:val="00231614"/>
    <w:rsid w:val="002D19D1"/>
    <w:rsid w:val="002F479E"/>
    <w:rsid w:val="0032280D"/>
    <w:rsid w:val="00386BE4"/>
    <w:rsid w:val="003D211C"/>
    <w:rsid w:val="00477D9E"/>
    <w:rsid w:val="00486F22"/>
    <w:rsid w:val="004E4FEA"/>
    <w:rsid w:val="0050667A"/>
    <w:rsid w:val="00542B7B"/>
    <w:rsid w:val="00543BD9"/>
    <w:rsid w:val="00587CA7"/>
    <w:rsid w:val="005C0DA6"/>
    <w:rsid w:val="006D65FC"/>
    <w:rsid w:val="006F7653"/>
    <w:rsid w:val="006F7BEA"/>
    <w:rsid w:val="007404DC"/>
    <w:rsid w:val="00757160"/>
    <w:rsid w:val="00764DA4"/>
    <w:rsid w:val="007918DF"/>
    <w:rsid w:val="007C3DC8"/>
    <w:rsid w:val="007F2F8D"/>
    <w:rsid w:val="009673DF"/>
    <w:rsid w:val="0097624A"/>
    <w:rsid w:val="009A58F9"/>
    <w:rsid w:val="009D167C"/>
    <w:rsid w:val="00A16E33"/>
    <w:rsid w:val="00A3022F"/>
    <w:rsid w:val="00AC5020"/>
    <w:rsid w:val="00AF1304"/>
    <w:rsid w:val="00B535A8"/>
    <w:rsid w:val="00BA00E5"/>
    <w:rsid w:val="00DA2548"/>
    <w:rsid w:val="00DD19B8"/>
    <w:rsid w:val="00E03C9E"/>
    <w:rsid w:val="00E6381F"/>
    <w:rsid w:val="00EF1576"/>
    <w:rsid w:val="00F337F9"/>
    <w:rsid w:val="00F44786"/>
    <w:rsid w:val="00FA3301"/>
    <w:rsid w:val="00FD1654"/>
    <w:rsid w:val="2B8E3D24"/>
    <w:rsid w:val="4BBE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197</Words>
  <Characters>1129</Characters>
  <Lines>9</Lines>
  <Paragraphs>2</Paragraphs>
  <TotalTime>36</TotalTime>
  <ScaleCrop>false</ScaleCrop>
  <LinksUpToDate>false</LinksUpToDate>
  <CharactersWithSpaces>1324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2024-05-15T06:06:00Z</dcterms:created>
  <dc:creator>周高勇</dc:creator>
  <cp:lastModifiedBy>李景熙</cp:lastModifiedBy>
  <dcterms:modified xsi:type="dcterms:W3CDTF">2024-05-17T10:23:01Z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8D9834AC60514B77A08E9E415302D42B_12</vt:lpwstr>
  </property>
</Properties>
</file>